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4E2" w:rsidRDefault="00CB04E2"/>
    <w:p w:rsidR="00136DCC" w:rsidRDefault="00136DCC" w:rsidP="00136DCC">
      <w:pPr>
        <w:pStyle w:val="a3"/>
        <w:numPr>
          <w:ilvl w:val="0"/>
          <w:numId w:val="1"/>
        </w:numPr>
        <w:jc w:val="center"/>
        <w:rPr>
          <w:b/>
        </w:rPr>
      </w:pPr>
      <w:r w:rsidRPr="00136DCC">
        <w:rPr>
          <w:b/>
        </w:rPr>
        <w:t xml:space="preserve">Μαργαριτάρια Μαύρης Θάλασσας </w:t>
      </w:r>
      <w:r w:rsidR="004E0624">
        <w:rPr>
          <w:b/>
        </w:rPr>
        <w:t>4</w:t>
      </w:r>
      <w:r w:rsidRPr="00136DCC">
        <w:rPr>
          <w:b/>
        </w:rPr>
        <w:t xml:space="preserve"> μέρες </w:t>
      </w:r>
      <w:r w:rsidR="00BD77E4">
        <w:rPr>
          <w:b/>
        </w:rPr>
        <w:t>21-24.06.24</w:t>
      </w:r>
      <w:r w:rsidRPr="00136DCC">
        <w:rPr>
          <w:b/>
        </w:rPr>
        <w:t>. Οδικώς</w:t>
      </w:r>
    </w:p>
    <w:p w:rsidR="00136DCC" w:rsidRDefault="00136DCC" w:rsidP="00136DCC">
      <w:pPr>
        <w:jc w:val="center"/>
        <w:rPr>
          <w:b/>
        </w:rPr>
      </w:pPr>
    </w:p>
    <w:p w:rsidR="00136DCC" w:rsidRPr="006168E2" w:rsidRDefault="00136DCC" w:rsidP="00136DCC">
      <w:pPr>
        <w:rPr>
          <w:b/>
        </w:rPr>
      </w:pPr>
      <w:r w:rsidRPr="006168E2">
        <w:rPr>
          <w:b/>
        </w:rPr>
        <w:t xml:space="preserve">1η </w:t>
      </w:r>
      <w:r w:rsidR="004E0624">
        <w:rPr>
          <w:b/>
        </w:rPr>
        <w:t>Μέρα |</w:t>
      </w:r>
      <w:r w:rsidRPr="006168E2">
        <w:rPr>
          <w:b/>
        </w:rPr>
        <w:t xml:space="preserve"> Αναχώρηση </w:t>
      </w:r>
      <w:r w:rsidR="004E0624">
        <w:rPr>
          <w:b/>
        </w:rPr>
        <w:t>–</w:t>
      </w:r>
      <w:r w:rsidRPr="006168E2">
        <w:rPr>
          <w:b/>
        </w:rPr>
        <w:t xml:space="preserve"> </w:t>
      </w:r>
      <w:r w:rsidR="004E0624">
        <w:rPr>
          <w:b/>
        </w:rPr>
        <w:t>Σόφια</w:t>
      </w:r>
      <w:r w:rsidRPr="006168E2">
        <w:rPr>
          <w:b/>
        </w:rPr>
        <w:t xml:space="preserve"> - Αρχαία Μεσημβρία</w:t>
      </w:r>
    </w:p>
    <w:p w:rsidR="00136DCC" w:rsidRPr="006168E2" w:rsidRDefault="00136DCC" w:rsidP="00136DCC">
      <w:r w:rsidRPr="006168E2">
        <w:t xml:space="preserve">Συγκέντρωση στα γραφεία μας νωρίς το πρωί και αναχώρηση. Θα διασχίσουμε μια όμορφη διαδρομή και μετά τις απαραίτητες στάσεις για ξεκούραση και σύνορα (συνοριακός σταθμός </w:t>
      </w:r>
      <w:proofErr w:type="spellStart"/>
      <w:r w:rsidRPr="006168E2">
        <w:t>Ορμενίου</w:t>
      </w:r>
      <w:proofErr w:type="spellEnd"/>
      <w:r w:rsidRPr="006168E2">
        <w:t>), θα φτάσουμε στο Νεσέμπαρ (αρχαία Μεσημβρία) που βρίσκεται στις ακτές της Μαύρης Θάλασσας και είναι γνωστό ως το μαργαριτάρι της Μαύρης θάλασσας. Ελεύθερος χρόνος για να περπατήσουμε στα γραφικά στενά με τα παραδοσιακά ελληνικά σπίτια. Στη συνέχεια τακτοποίηση στο ξενοδοχείο και δείπνο.</w:t>
      </w:r>
    </w:p>
    <w:p w:rsidR="00136DCC" w:rsidRPr="006168E2" w:rsidRDefault="00136DCC" w:rsidP="00136DCC">
      <w:pPr>
        <w:rPr>
          <w:b/>
        </w:rPr>
      </w:pPr>
      <w:r w:rsidRPr="006168E2">
        <w:rPr>
          <w:b/>
        </w:rPr>
        <w:t>2</w:t>
      </w:r>
      <w:r w:rsidRPr="004E0624">
        <w:rPr>
          <w:b/>
          <w:vertAlign w:val="superscript"/>
        </w:rPr>
        <w:t>η</w:t>
      </w:r>
      <w:r w:rsidR="004E0624">
        <w:rPr>
          <w:b/>
        </w:rPr>
        <w:t xml:space="preserve"> Μέρα |</w:t>
      </w:r>
      <w:r w:rsidRPr="006168E2">
        <w:rPr>
          <w:b/>
        </w:rPr>
        <w:t xml:space="preserve"> Αρχαία Μεσημβρία ξενάγηση - Αγχίαλος - Σωζόπολη</w:t>
      </w:r>
    </w:p>
    <w:p w:rsidR="00136DCC" w:rsidRPr="006168E2" w:rsidRDefault="00136DCC" w:rsidP="00136DCC">
      <w:r w:rsidRPr="006168E2">
        <w:t xml:space="preserve">Πρόγευμα και ακολουθεί η ξενάγηση στην πόλη της Μεσημβρίας που έχει ανακηρυχθεί από την </w:t>
      </w:r>
      <w:proofErr w:type="spellStart"/>
      <w:r w:rsidRPr="006168E2">
        <w:t>Unesco</w:t>
      </w:r>
      <w:proofErr w:type="spellEnd"/>
      <w:r w:rsidRPr="006168E2">
        <w:t xml:space="preserve"> ως μνημείο παγκόσμιας κληρονομιάς. Το κέντρο της πόλης διατηρεί το βυζαντινό της χρώμα με τις πολλές εκκλησίες περασμένων αιώνων. Εκεί θα δούμε, μεταξύ άλλων, τον ναό της Αγίας Σοφίας και του Αγίου Ιωάννη του Παντοκράτορα, τα μεσαιωνικά τείχη, το αρχαιολογικό μουσείο και θα περιηγηθούμε στα όμορφα στενά με τα παραδοσιακά σπίτια με τις ψηλές εξώπορτες. Ελεύθερος χρόνος και αναχώρηση για την Αγχίαλο (</w:t>
      </w:r>
      <w:proofErr w:type="spellStart"/>
      <w:r w:rsidRPr="006168E2">
        <w:t>Πομόριε</w:t>
      </w:r>
      <w:proofErr w:type="spellEnd"/>
      <w:r w:rsidRPr="006168E2">
        <w:t>), όπου θα επισκεφτούμε το κάποτε ελληνικό μοναστήρι του Αγίου Γεωργίου, θα μάθουμε την ιστορία του, θα προσκυνήσουμε και μετά μπορούμε να κατεβούμε μέχρι την παραλία της Αγχιάλου και να γνωρίσουμε την πόλη στον ελεύθερο χρόνο. Συνεχίζοντας στις πόλεις της Μαύρης Θάλασσας, φθάνουμε στην πιο παλιά αποικία των Ελλήνων στην περιοχή, τη Σωζόπολη (αρχαία Απολλωνία). Εδώ θα δούμε τα λείψανα του Αγίου Ιωάννη του Βαπτιστή που βρέθηκαν πρόσφατα και φυλάσσονται στην αναστηλωμένη εκκλησία των Αγίων Κυρίλλου και Μεθοδίου και την παλιά πόλη όπου επικρατεί η παραδοσιακή αρχιτεκτονική από ξύλο. Επιστροφή στο ξενοδοχείο και δείπνο.</w:t>
      </w:r>
    </w:p>
    <w:p w:rsidR="00136DCC" w:rsidRPr="006168E2" w:rsidRDefault="004E0624" w:rsidP="00136DCC">
      <w:pPr>
        <w:rPr>
          <w:b/>
        </w:rPr>
      </w:pPr>
      <w:r>
        <w:rPr>
          <w:b/>
        </w:rPr>
        <w:t>3</w:t>
      </w:r>
      <w:r w:rsidR="00136DCC" w:rsidRPr="006168E2">
        <w:rPr>
          <w:b/>
        </w:rPr>
        <w:t xml:space="preserve">η </w:t>
      </w:r>
      <w:r>
        <w:rPr>
          <w:b/>
        </w:rPr>
        <w:t>Μέρα |</w:t>
      </w:r>
      <w:r w:rsidR="00136DCC" w:rsidRPr="006168E2">
        <w:rPr>
          <w:b/>
        </w:rPr>
        <w:t xml:space="preserve"> Αρχαία Μεσημβρία - Βάρνα - Αλατζά </w:t>
      </w:r>
    </w:p>
    <w:p w:rsidR="00136DCC" w:rsidRPr="006168E2" w:rsidRDefault="00136DCC" w:rsidP="00136DCC">
      <w:r w:rsidRPr="006168E2">
        <w:t>Πρόγευμα και αναχώρηση για την όμορφη πόλη της Βάρνας, τη μεγαλύτερη της Μαύρης Θάλασσας. Θα διασχίσουμε το κέντρο της Βάρνας και θα συνεχίσουμε τον δρόμο μας για περίπου δεκαπέντε χιλιόμετρα, θαυμάζοντας τις λεγόμενες χρυσές ακτές μέχρι να φτάσουμε στο μοναστήρι Αγίας Τριάδας, γνωστό ως Αλατζά. Πρόκειται για μοναστήρι του 5ου αιώνα λαξευμένο ολόκληρο μέσα στους βράχους. Μετά την επίσκεψη και το προσκύνημα θα επιστρέψουμε στη Βάρνα, όπου θα δούμε τον μητροπολιτικό ναό της Κοίμησης της Θεοτόκου, κτισμένος το 1866 και μετά θα έχουμε χρόνο στον όμορφο πεζόδρομο με την όπερα και τα πολλά καταστήματα για ψώνια και γεύμα. Αργότερα θα επισκεφθούμε ένα από τα μεγαλύτερα παραθαλάσσια πάρκα της Ευρώπης έκτασης τετρακοσίων στρεμμάτων. Εκεί υπάρχουν μουσεία, όπως το Ναυτικό με ένα ολόκληρο πολεμικό πλοίο στο πλάι του, θέατρα, καφετέριες και ενυδρείο. Επιστροφή στο ξενοδοχείο και δείπνο.</w:t>
      </w:r>
    </w:p>
    <w:p w:rsidR="00136DCC" w:rsidRPr="006168E2" w:rsidRDefault="004E0624" w:rsidP="00136DCC">
      <w:pPr>
        <w:rPr>
          <w:b/>
        </w:rPr>
      </w:pPr>
      <w:r>
        <w:rPr>
          <w:b/>
        </w:rPr>
        <w:t>4</w:t>
      </w:r>
      <w:r w:rsidR="00136DCC" w:rsidRPr="004E0624">
        <w:rPr>
          <w:b/>
          <w:vertAlign w:val="superscript"/>
        </w:rPr>
        <w:t>η</w:t>
      </w:r>
      <w:r>
        <w:rPr>
          <w:b/>
        </w:rPr>
        <w:t xml:space="preserve"> Μέρα |</w:t>
      </w:r>
      <w:r w:rsidR="00136DCC" w:rsidRPr="006168E2">
        <w:rPr>
          <w:b/>
        </w:rPr>
        <w:t xml:space="preserve"> Αρχαία Μεσημβρία - Σόφια - Επιστροφή</w:t>
      </w:r>
    </w:p>
    <w:p w:rsidR="00136DCC" w:rsidRDefault="00136DCC" w:rsidP="00136DCC">
      <w:r w:rsidRPr="006168E2">
        <w:t xml:space="preserve">Πρόγευμα και αναχώρηση για τη Σόφια. Άφιξη και περιήγηση στην πρωτεύουσα της Βουλγαρίας. Θα δούμε, μεταξύ άλλων, τον βυζαντινό ναό της Αγίας Κυριακής, τα ρωμαϊκά </w:t>
      </w:r>
      <w:r w:rsidRPr="006168E2">
        <w:lastRenderedPageBreak/>
        <w:t xml:space="preserve">μνημεία, τον περίφημο ναό του Αλεξάντερ </w:t>
      </w:r>
      <w:proofErr w:type="spellStart"/>
      <w:r w:rsidRPr="006168E2">
        <w:t>Νιέφσκι</w:t>
      </w:r>
      <w:proofErr w:type="spellEnd"/>
      <w:r w:rsidRPr="006168E2">
        <w:t>, τη Βουλή και την πανεπιστημιούπολη. Μετά από τις απαραίτητες στάσεις, άφιξη το βράδυ στην πόλη μας.</w:t>
      </w:r>
    </w:p>
    <w:tbl>
      <w:tblPr>
        <w:tblStyle w:val="a4"/>
        <w:tblW w:w="8642" w:type="dxa"/>
        <w:tblLook w:val="04A0" w:firstRow="1" w:lastRow="0" w:firstColumn="1" w:lastColumn="0" w:noHBand="0" w:noVBand="1"/>
      </w:tblPr>
      <w:tblGrid>
        <w:gridCol w:w="1276"/>
        <w:gridCol w:w="612"/>
        <w:gridCol w:w="1410"/>
        <w:gridCol w:w="894"/>
        <w:gridCol w:w="980"/>
        <w:gridCol w:w="1367"/>
        <w:gridCol w:w="2241"/>
      </w:tblGrid>
      <w:tr w:rsidR="00BD77E4" w:rsidRPr="00BD77E4" w:rsidTr="00BD77E4">
        <w:trPr>
          <w:trHeight w:val="510"/>
        </w:trPr>
        <w:tc>
          <w:tcPr>
            <w:tcW w:w="4104" w:type="dxa"/>
            <w:gridSpan w:val="4"/>
            <w:shd w:val="clear" w:color="auto" w:fill="FFFF00"/>
            <w:hideMark/>
          </w:tcPr>
          <w:p w:rsidR="00BD77E4" w:rsidRPr="00BD77E4" w:rsidRDefault="00BD77E4" w:rsidP="00BD77E4">
            <w:pPr>
              <w:jc w:val="center"/>
              <w:rPr>
                <w:b/>
                <w:bCs/>
              </w:rPr>
            </w:pPr>
            <w:r w:rsidRPr="00BD77E4">
              <w:rPr>
                <w:b/>
                <w:bCs/>
              </w:rPr>
              <w:t>Μαργαριτάρια Μαύρης Θάλασσας 4 μέρες - 3 νύχτες</w:t>
            </w:r>
          </w:p>
        </w:tc>
        <w:tc>
          <w:tcPr>
            <w:tcW w:w="4538" w:type="dxa"/>
            <w:gridSpan w:val="3"/>
            <w:shd w:val="clear" w:color="auto" w:fill="FFFF00"/>
            <w:hideMark/>
          </w:tcPr>
          <w:p w:rsidR="00BD77E4" w:rsidRPr="00BD77E4" w:rsidRDefault="00BD77E4" w:rsidP="00BD77E4">
            <w:pPr>
              <w:jc w:val="center"/>
              <w:rPr>
                <w:b/>
                <w:bCs/>
              </w:rPr>
            </w:pPr>
            <w:r w:rsidRPr="00BD77E4">
              <w:rPr>
                <w:b/>
                <w:bCs/>
              </w:rPr>
              <w:t>Αναχώρηση : 21/06/24 - Πακέτο εκδρομής</w:t>
            </w:r>
          </w:p>
        </w:tc>
      </w:tr>
      <w:tr w:rsidR="00BD77E4" w:rsidRPr="00BD77E4" w:rsidTr="00BD77E4">
        <w:trPr>
          <w:trHeight w:val="735"/>
        </w:trPr>
        <w:tc>
          <w:tcPr>
            <w:tcW w:w="1247" w:type="dxa"/>
            <w:hideMark/>
          </w:tcPr>
          <w:p w:rsidR="00BD77E4" w:rsidRPr="00BD77E4" w:rsidRDefault="00BD77E4" w:rsidP="00BD77E4">
            <w:pPr>
              <w:jc w:val="center"/>
              <w:rPr>
                <w:b/>
                <w:bCs/>
              </w:rPr>
            </w:pPr>
            <w:r w:rsidRPr="00BD77E4">
              <w:rPr>
                <w:b/>
                <w:bCs/>
              </w:rPr>
              <w:t>Ξενοδοχεία</w:t>
            </w:r>
          </w:p>
        </w:tc>
        <w:tc>
          <w:tcPr>
            <w:tcW w:w="602" w:type="dxa"/>
            <w:hideMark/>
          </w:tcPr>
          <w:p w:rsidR="00BD77E4" w:rsidRPr="00BD77E4" w:rsidRDefault="00BD77E4" w:rsidP="00BD77E4">
            <w:pPr>
              <w:jc w:val="center"/>
              <w:rPr>
                <w:b/>
                <w:bCs/>
              </w:rPr>
            </w:pPr>
            <w:proofErr w:type="spellStart"/>
            <w:r w:rsidRPr="00BD77E4">
              <w:rPr>
                <w:b/>
                <w:bCs/>
              </w:rPr>
              <w:t>Κατ</w:t>
            </w:r>
            <w:proofErr w:type="spellEnd"/>
            <w:r w:rsidRPr="00BD77E4">
              <w:rPr>
                <w:b/>
                <w:bCs/>
              </w:rPr>
              <w:t>.</w:t>
            </w:r>
          </w:p>
        </w:tc>
        <w:tc>
          <w:tcPr>
            <w:tcW w:w="1379" w:type="dxa"/>
            <w:hideMark/>
          </w:tcPr>
          <w:p w:rsidR="00BD77E4" w:rsidRPr="00BD77E4" w:rsidRDefault="00BD77E4" w:rsidP="00BD77E4">
            <w:pPr>
              <w:jc w:val="center"/>
              <w:rPr>
                <w:b/>
                <w:bCs/>
              </w:rPr>
            </w:pPr>
            <w:r w:rsidRPr="00BD77E4">
              <w:rPr>
                <w:b/>
                <w:bCs/>
              </w:rPr>
              <w:t>Διατροφή</w:t>
            </w:r>
          </w:p>
        </w:tc>
        <w:tc>
          <w:tcPr>
            <w:tcW w:w="876" w:type="dxa"/>
            <w:hideMark/>
          </w:tcPr>
          <w:p w:rsidR="00BD77E4" w:rsidRPr="00BD77E4" w:rsidRDefault="00BD77E4" w:rsidP="00BD77E4">
            <w:pPr>
              <w:jc w:val="center"/>
              <w:rPr>
                <w:b/>
                <w:bCs/>
              </w:rPr>
            </w:pPr>
            <w:r w:rsidRPr="00BD77E4">
              <w:rPr>
                <w:b/>
                <w:bCs/>
              </w:rPr>
              <w:t>Τιμή σε δίκλινο</w:t>
            </w:r>
          </w:p>
        </w:tc>
        <w:tc>
          <w:tcPr>
            <w:tcW w:w="960" w:type="dxa"/>
            <w:hideMark/>
          </w:tcPr>
          <w:p w:rsidR="00BD77E4" w:rsidRPr="00BD77E4" w:rsidRDefault="00BD77E4" w:rsidP="00BD77E4">
            <w:pPr>
              <w:jc w:val="center"/>
              <w:rPr>
                <w:b/>
                <w:bCs/>
              </w:rPr>
            </w:pPr>
            <w:r w:rsidRPr="00BD77E4">
              <w:rPr>
                <w:b/>
                <w:bCs/>
              </w:rPr>
              <w:t>Παιδί σε τρίκλινο 2-12 ετών</w:t>
            </w:r>
          </w:p>
        </w:tc>
        <w:tc>
          <w:tcPr>
            <w:tcW w:w="1337" w:type="dxa"/>
            <w:hideMark/>
          </w:tcPr>
          <w:p w:rsidR="00BD77E4" w:rsidRPr="00BD77E4" w:rsidRDefault="00BD77E4" w:rsidP="00BD77E4">
            <w:pPr>
              <w:jc w:val="center"/>
              <w:rPr>
                <w:b/>
                <w:bCs/>
              </w:rPr>
            </w:pPr>
            <w:proofErr w:type="spellStart"/>
            <w:r w:rsidRPr="00BD77E4">
              <w:rPr>
                <w:b/>
                <w:bCs/>
              </w:rPr>
              <w:t>Επιβ</w:t>
            </w:r>
            <w:proofErr w:type="spellEnd"/>
            <w:r w:rsidRPr="00BD77E4">
              <w:rPr>
                <w:b/>
                <w:bCs/>
              </w:rPr>
              <w:t>. Μονόκλινου</w:t>
            </w:r>
          </w:p>
        </w:tc>
        <w:tc>
          <w:tcPr>
            <w:tcW w:w="2241" w:type="dxa"/>
            <w:hideMark/>
          </w:tcPr>
          <w:p w:rsidR="00BD77E4" w:rsidRPr="00BD77E4" w:rsidRDefault="00BD77E4" w:rsidP="00BD77E4">
            <w:pPr>
              <w:jc w:val="center"/>
              <w:rPr>
                <w:b/>
                <w:bCs/>
              </w:rPr>
            </w:pPr>
            <w:r w:rsidRPr="00BD77E4">
              <w:rPr>
                <w:b/>
                <w:bCs/>
              </w:rPr>
              <w:t>Γενικές Πληροφορίες</w:t>
            </w:r>
          </w:p>
        </w:tc>
      </w:tr>
      <w:tr w:rsidR="00BD77E4" w:rsidRPr="00BD77E4" w:rsidTr="00BD77E4">
        <w:trPr>
          <w:trHeight w:val="735"/>
        </w:trPr>
        <w:tc>
          <w:tcPr>
            <w:tcW w:w="1247" w:type="dxa"/>
            <w:vMerge w:val="restart"/>
            <w:hideMark/>
          </w:tcPr>
          <w:p w:rsidR="00BD77E4" w:rsidRDefault="00BD77E4" w:rsidP="00BD77E4">
            <w:pPr>
              <w:jc w:val="center"/>
              <w:rPr>
                <w:lang w:val="en-US"/>
              </w:rPr>
            </w:pPr>
          </w:p>
          <w:p w:rsidR="00BD77E4" w:rsidRPr="00BD77E4" w:rsidRDefault="00BD77E4" w:rsidP="00BD77E4">
            <w:pPr>
              <w:jc w:val="center"/>
              <w:rPr>
                <w:lang w:val="en-US"/>
              </w:rPr>
            </w:pPr>
            <w:r w:rsidRPr="00BD77E4">
              <w:rPr>
                <w:lang w:val="en-US"/>
              </w:rPr>
              <w:t>Best Western Plus Premium Inn</w:t>
            </w:r>
          </w:p>
        </w:tc>
        <w:tc>
          <w:tcPr>
            <w:tcW w:w="602" w:type="dxa"/>
            <w:vMerge w:val="restart"/>
            <w:hideMark/>
          </w:tcPr>
          <w:p w:rsidR="00BD77E4" w:rsidRDefault="00BD77E4" w:rsidP="00BD77E4">
            <w:pPr>
              <w:jc w:val="center"/>
            </w:pPr>
          </w:p>
          <w:p w:rsidR="00BD77E4" w:rsidRPr="00BD77E4" w:rsidRDefault="00BD77E4" w:rsidP="00BD77E4">
            <w:pPr>
              <w:jc w:val="center"/>
            </w:pPr>
            <w:r w:rsidRPr="00BD77E4">
              <w:t>4*</w:t>
            </w:r>
          </w:p>
        </w:tc>
        <w:tc>
          <w:tcPr>
            <w:tcW w:w="1379" w:type="dxa"/>
            <w:vMerge w:val="restart"/>
            <w:hideMark/>
          </w:tcPr>
          <w:p w:rsidR="00BD77E4" w:rsidRDefault="00BD77E4" w:rsidP="00BD77E4">
            <w:pPr>
              <w:jc w:val="center"/>
            </w:pPr>
          </w:p>
          <w:p w:rsidR="00BD77E4" w:rsidRPr="00BD77E4" w:rsidRDefault="00BD77E4" w:rsidP="00BD77E4">
            <w:pPr>
              <w:jc w:val="center"/>
            </w:pPr>
            <w:r w:rsidRPr="00BD77E4">
              <w:t>Ημιδιατροφή</w:t>
            </w:r>
          </w:p>
        </w:tc>
        <w:tc>
          <w:tcPr>
            <w:tcW w:w="876" w:type="dxa"/>
            <w:vMerge w:val="restart"/>
            <w:hideMark/>
          </w:tcPr>
          <w:p w:rsidR="00BD77E4" w:rsidRDefault="00BD77E4" w:rsidP="00BD77E4">
            <w:pPr>
              <w:jc w:val="center"/>
            </w:pPr>
          </w:p>
          <w:p w:rsidR="00BD77E4" w:rsidRPr="00BD77E4" w:rsidRDefault="00BD77E4" w:rsidP="00BD77E4">
            <w:pPr>
              <w:jc w:val="center"/>
            </w:pPr>
            <w:r w:rsidRPr="00BD77E4">
              <w:t>240€</w:t>
            </w:r>
          </w:p>
        </w:tc>
        <w:tc>
          <w:tcPr>
            <w:tcW w:w="960" w:type="dxa"/>
            <w:vMerge w:val="restart"/>
            <w:hideMark/>
          </w:tcPr>
          <w:p w:rsidR="00BD77E4" w:rsidRDefault="00BD77E4" w:rsidP="00BD77E4">
            <w:pPr>
              <w:jc w:val="center"/>
            </w:pPr>
          </w:p>
          <w:p w:rsidR="00BD77E4" w:rsidRPr="00BD77E4" w:rsidRDefault="00BD77E4" w:rsidP="00BD77E4">
            <w:pPr>
              <w:jc w:val="center"/>
            </w:pPr>
            <w:r w:rsidRPr="00BD77E4">
              <w:t>18</w:t>
            </w:r>
            <w:bookmarkStart w:id="0" w:name="_GoBack"/>
            <w:bookmarkEnd w:id="0"/>
            <w:r w:rsidRPr="00BD77E4">
              <w:t>0€</w:t>
            </w:r>
          </w:p>
        </w:tc>
        <w:tc>
          <w:tcPr>
            <w:tcW w:w="1337" w:type="dxa"/>
            <w:vMerge w:val="restart"/>
            <w:hideMark/>
          </w:tcPr>
          <w:p w:rsidR="00BD77E4" w:rsidRDefault="00BD77E4" w:rsidP="00BD77E4">
            <w:pPr>
              <w:jc w:val="center"/>
            </w:pPr>
          </w:p>
          <w:p w:rsidR="00BD77E4" w:rsidRPr="00BD77E4" w:rsidRDefault="00BD77E4" w:rsidP="00BD77E4">
            <w:pPr>
              <w:jc w:val="center"/>
            </w:pPr>
            <w:r w:rsidRPr="00BD77E4">
              <w:t>120€</w:t>
            </w:r>
          </w:p>
        </w:tc>
        <w:tc>
          <w:tcPr>
            <w:tcW w:w="2241" w:type="dxa"/>
            <w:vMerge w:val="restart"/>
            <w:noWrap/>
            <w:hideMark/>
          </w:tcPr>
          <w:p w:rsidR="00BD77E4" w:rsidRPr="00BD77E4" w:rsidRDefault="00BD77E4">
            <w:r w:rsidRPr="00BD77E4">
              <w:t> </w:t>
            </w:r>
          </w:p>
        </w:tc>
      </w:tr>
      <w:tr w:rsidR="00BD77E4" w:rsidRPr="00BD77E4" w:rsidTr="00BD77E4">
        <w:trPr>
          <w:trHeight w:val="825"/>
        </w:trPr>
        <w:tc>
          <w:tcPr>
            <w:tcW w:w="1247" w:type="dxa"/>
            <w:vMerge/>
            <w:hideMark/>
          </w:tcPr>
          <w:p w:rsidR="00BD77E4" w:rsidRPr="00BD77E4" w:rsidRDefault="00BD77E4"/>
        </w:tc>
        <w:tc>
          <w:tcPr>
            <w:tcW w:w="602" w:type="dxa"/>
            <w:vMerge/>
            <w:hideMark/>
          </w:tcPr>
          <w:p w:rsidR="00BD77E4" w:rsidRPr="00BD77E4" w:rsidRDefault="00BD77E4"/>
        </w:tc>
        <w:tc>
          <w:tcPr>
            <w:tcW w:w="1379" w:type="dxa"/>
            <w:vMerge/>
            <w:hideMark/>
          </w:tcPr>
          <w:p w:rsidR="00BD77E4" w:rsidRPr="00BD77E4" w:rsidRDefault="00BD77E4"/>
        </w:tc>
        <w:tc>
          <w:tcPr>
            <w:tcW w:w="876" w:type="dxa"/>
            <w:vMerge/>
            <w:hideMark/>
          </w:tcPr>
          <w:p w:rsidR="00BD77E4" w:rsidRPr="00BD77E4" w:rsidRDefault="00BD77E4"/>
        </w:tc>
        <w:tc>
          <w:tcPr>
            <w:tcW w:w="960" w:type="dxa"/>
            <w:vMerge/>
            <w:hideMark/>
          </w:tcPr>
          <w:p w:rsidR="00BD77E4" w:rsidRPr="00BD77E4" w:rsidRDefault="00BD77E4"/>
        </w:tc>
        <w:tc>
          <w:tcPr>
            <w:tcW w:w="1337" w:type="dxa"/>
            <w:vMerge/>
            <w:hideMark/>
          </w:tcPr>
          <w:p w:rsidR="00BD77E4" w:rsidRPr="00BD77E4" w:rsidRDefault="00BD77E4"/>
        </w:tc>
        <w:tc>
          <w:tcPr>
            <w:tcW w:w="2241" w:type="dxa"/>
            <w:vMerge/>
            <w:hideMark/>
          </w:tcPr>
          <w:p w:rsidR="00BD77E4" w:rsidRPr="00BD77E4" w:rsidRDefault="00BD77E4"/>
        </w:tc>
      </w:tr>
      <w:tr w:rsidR="00BD77E4" w:rsidRPr="00BD77E4" w:rsidTr="00BD77E4">
        <w:trPr>
          <w:trHeight w:val="945"/>
        </w:trPr>
        <w:tc>
          <w:tcPr>
            <w:tcW w:w="1247" w:type="dxa"/>
            <w:vMerge/>
            <w:hideMark/>
          </w:tcPr>
          <w:p w:rsidR="00BD77E4" w:rsidRPr="00BD77E4" w:rsidRDefault="00BD77E4"/>
        </w:tc>
        <w:tc>
          <w:tcPr>
            <w:tcW w:w="602" w:type="dxa"/>
            <w:vMerge/>
            <w:hideMark/>
          </w:tcPr>
          <w:p w:rsidR="00BD77E4" w:rsidRPr="00BD77E4" w:rsidRDefault="00BD77E4"/>
        </w:tc>
        <w:tc>
          <w:tcPr>
            <w:tcW w:w="1379" w:type="dxa"/>
            <w:vMerge/>
            <w:hideMark/>
          </w:tcPr>
          <w:p w:rsidR="00BD77E4" w:rsidRPr="00BD77E4" w:rsidRDefault="00BD77E4"/>
        </w:tc>
        <w:tc>
          <w:tcPr>
            <w:tcW w:w="876" w:type="dxa"/>
            <w:vMerge/>
            <w:hideMark/>
          </w:tcPr>
          <w:p w:rsidR="00BD77E4" w:rsidRPr="00BD77E4" w:rsidRDefault="00BD77E4"/>
        </w:tc>
        <w:tc>
          <w:tcPr>
            <w:tcW w:w="960" w:type="dxa"/>
            <w:vMerge/>
            <w:hideMark/>
          </w:tcPr>
          <w:p w:rsidR="00BD77E4" w:rsidRPr="00BD77E4" w:rsidRDefault="00BD77E4"/>
        </w:tc>
        <w:tc>
          <w:tcPr>
            <w:tcW w:w="1337" w:type="dxa"/>
            <w:vMerge/>
            <w:hideMark/>
          </w:tcPr>
          <w:p w:rsidR="00BD77E4" w:rsidRPr="00BD77E4" w:rsidRDefault="00BD77E4"/>
        </w:tc>
        <w:tc>
          <w:tcPr>
            <w:tcW w:w="2241" w:type="dxa"/>
            <w:vMerge/>
            <w:hideMark/>
          </w:tcPr>
          <w:p w:rsidR="00BD77E4" w:rsidRPr="00BD77E4" w:rsidRDefault="00BD77E4"/>
        </w:tc>
      </w:tr>
      <w:tr w:rsidR="00BD77E4" w:rsidRPr="00BD77E4" w:rsidTr="00BD77E4">
        <w:trPr>
          <w:trHeight w:val="450"/>
        </w:trPr>
        <w:tc>
          <w:tcPr>
            <w:tcW w:w="1247" w:type="dxa"/>
            <w:vMerge/>
            <w:hideMark/>
          </w:tcPr>
          <w:p w:rsidR="00BD77E4" w:rsidRPr="00BD77E4" w:rsidRDefault="00BD77E4"/>
        </w:tc>
        <w:tc>
          <w:tcPr>
            <w:tcW w:w="602" w:type="dxa"/>
            <w:vMerge/>
            <w:hideMark/>
          </w:tcPr>
          <w:p w:rsidR="00BD77E4" w:rsidRPr="00BD77E4" w:rsidRDefault="00BD77E4"/>
        </w:tc>
        <w:tc>
          <w:tcPr>
            <w:tcW w:w="1379" w:type="dxa"/>
            <w:vMerge/>
            <w:hideMark/>
          </w:tcPr>
          <w:p w:rsidR="00BD77E4" w:rsidRPr="00BD77E4" w:rsidRDefault="00BD77E4"/>
        </w:tc>
        <w:tc>
          <w:tcPr>
            <w:tcW w:w="876" w:type="dxa"/>
            <w:vMerge/>
            <w:hideMark/>
          </w:tcPr>
          <w:p w:rsidR="00BD77E4" w:rsidRPr="00BD77E4" w:rsidRDefault="00BD77E4"/>
        </w:tc>
        <w:tc>
          <w:tcPr>
            <w:tcW w:w="960" w:type="dxa"/>
            <w:vMerge/>
            <w:hideMark/>
          </w:tcPr>
          <w:p w:rsidR="00BD77E4" w:rsidRPr="00BD77E4" w:rsidRDefault="00BD77E4"/>
        </w:tc>
        <w:tc>
          <w:tcPr>
            <w:tcW w:w="1337" w:type="dxa"/>
            <w:vMerge/>
            <w:hideMark/>
          </w:tcPr>
          <w:p w:rsidR="00BD77E4" w:rsidRPr="00BD77E4" w:rsidRDefault="00BD77E4"/>
        </w:tc>
        <w:tc>
          <w:tcPr>
            <w:tcW w:w="2241" w:type="dxa"/>
            <w:vMerge/>
            <w:hideMark/>
          </w:tcPr>
          <w:p w:rsidR="00BD77E4" w:rsidRPr="00BD77E4" w:rsidRDefault="00BD77E4"/>
        </w:tc>
      </w:tr>
      <w:tr w:rsidR="00BD77E4" w:rsidRPr="00BD77E4" w:rsidTr="00BD77E4">
        <w:trPr>
          <w:trHeight w:val="450"/>
        </w:trPr>
        <w:tc>
          <w:tcPr>
            <w:tcW w:w="1247" w:type="dxa"/>
            <w:vMerge/>
            <w:hideMark/>
          </w:tcPr>
          <w:p w:rsidR="00BD77E4" w:rsidRPr="00BD77E4" w:rsidRDefault="00BD77E4"/>
        </w:tc>
        <w:tc>
          <w:tcPr>
            <w:tcW w:w="602" w:type="dxa"/>
            <w:vMerge/>
            <w:hideMark/>
          </w:tcPr>
          <w:p w:rsidR="00BD77E4" w:rsidRPr="00BD77E4" w:rsidRDefault="00BD77E4"/>
        </w:tc>
        <w:tc>
          <w:tcPr>
            <w:tcW w:w="1379" w:type="dxa"/>
            <w:vMerge/>
            <w:hideMark/>
          </w:tcPr>
          <w:p w:rsidR="00BD77E4" w:rsidRPr="00BD77E4" w:rsidRDefault="00BD77E4"/>
        </w:tc>
        <w:tc>
          <w:tcPr>
            <w:tcW w:w="876" w:type="dxa"/>
            <w:vMerge/>
            <w:hideMark/>
          </w:tcPr>
          <w:p w:rsidR="00BD77E4" w:rsidRPr="00BD77E4" w:rsidRDefault="00BD77E4"/>
        </w:tc>
        <w:tc>
          <w:tcPr>
            <w:tcW w:w="960" w:type="dxa"/>
            <w:vMerge/>
            <w:hideMark/>
          </w:tcPr>
          <w:p w:rsidR="00BD77E4" w:rsidRPr="00BD77E4" w:rsidRDefault="00BD77E4"/>
        </w:tc>
        <w:tc>
          <w:tcPr>
            <w:tcW w:w="1337" w:type="dxa"/>
            <w:vMerge/>
            <w:hideMark/>
          </w:tcPr>
          <w:p w:rsidR="00BD77E4" w:rsidRPr="00BD77E4" w:rsidRDefault="00BD77E4"/>
        </w:tc>
        <w:tc>
          <w:tcPr>
            <w:tcW w:w="2241" w:type="dxa"/>
            <w:vMerge/>
            <w:hideMark/>
          </w:tcPr>
          <w:p w:rsidR="00BD77E4" w:rsidRPr="00BD77E4" w:rsidRDefault="00BD77E4"/>
        </w:tc>
      </w:tr>
      <w:tr w:rsidR="00BD77E4" w:rsidRPr="00BD77E4" w:rsidTr="00BD77E4">
        <w:trPr>
          <w:trHeight w:val="450"/>
        </w:trPr>
        <w:tc>
          <w:tcPr>
            <w:tcW w:w="1247" w:type="dxa"/>
            <w:vMerge/>
            <w:hideMark/>
          </w:tcPr>
          <w:p w:rsidR="00BD77E4" w:rsidRPr="00BD77E4" w:rsidRDefault="00BD77E4"/>
        </w:tc>
        <w:tc>
          <w:tcPr>
            <w:tcW w:w="602" w:type="dxa"/>
            <w:vMerge/>
            <w:hideMark/>
          </w:tcPr>
          <w:p w:rsidR="00BD77E4" w:rsidRPr="00BD77E4" w:rsidRDefault="00BD77E4"/>
        </w:tc>
        <w:tc>
          <w:tcPr>
            <w:tcW w:w="1379" w:type="dxa"/>
            <w:vMerge/>
            <w:hideMark/>
          </w:tcPr>
          <w:p w:rsidR="00BD77E4" w:rsidRPr="00BD77E4" w:rsidRDefault="00BD77E4"/>
        </w:tc>
        <w:tc>
          <w:tcPr>
            <w:tcW w:w="876" w:type="dxa"/>
            <w:vMerge/>
            <w:hideMark/>
          </w:tcPr>
          <w:p w:rsidR="00BD77E4" w:rsidRPr="00BD77E4" w:rsidRDefault="00BD77E4"/>
        </w:tc>
        <w:tc>
          <w:tcPr>
            <w:tcW w:w="960" w:type="dxa"/>
            <w:vMerge/>
            <w:hideMark/>
          </w:tcPr>
          <w:p w:rsidR="00BD77E4" w:rsidRPr="00BD77E4" w:rsidRDefault="00BD77E4"/>
        </w:tc>
        <w:tc>
          <w:tcPr>
            <w:tcW w:w="1337" w:type="dxa"/>
            <w:vMerge/>
            <w:hideMark/>
          </w:tcPr>
          <w:p w:rsidR="00BD77E4" w:rsidRPr="00BD77E4" w:rsidRDefault="00BD77E4"/>
        </w:tc>
        <w:tc>
          <w:tcPr>
            <w:tcW w:w="2241" w:type="dxa"/>
            <w:vMerge/>
            <w:hideMark/>
          </w:tcPr>
          <w:p w:rsidR="00BD77E4" w:rsidRPr="00BD77E4" w:rsidRDefault="00BD77E4"/>
        </w:tc>
      </w:tr>
      <w:tr w:rsidR="00BD77E4" w:rsidRPr="00BD77E4" w:rsidTr="00BD77E4">
        <w:trPr>
          <w:trHeight w:val="269"/>
        </w:trPr>
        <w:tc>
          <w:tcPr>
            <w:tcW w:w="8642" w:type="dxa"/>
            <w:gridSpan w:val="7"/>
            <w:vMerge w:val="restart"/>
            <w:hideMark/>
          </w:tcPr>
          <w:p w:rsidR="00BD77E4" w:rsidRPr="00BD77E4" w:rsidRDefault="00BD77E4">
            <w:pPr>
              <w:rPr>
                <w:b/>
                <w:bCs/>
              </w:rPr>
            </w:pPr>
            <w:r w:rsidRPr="00BD77E4">
              <w:rPr>
                <w:b/>
                <w:bCs/>
              </w:rPr>
              <w:t xml:space="preserve">Στη τιμή περιλαμβάνονται: </w:t>
            </w:r>
            <w:r w:rsidRPr="00BD77E4">
              <w:t>Τρείς</w:t>
            </w:r>
            <w:r w:rsidRPr="00BD77E4">
              <w:rPr>
                <w:b/>
                <w:bCs/>
              </w:rPr>
              <w:t xml:space="preserve"> </w:t>
            </w:r>
            <w:r w:rsidRPr="00BD77E4">
              <w:t>(3) διανυκτερεύσεις σε ξενοδοχείο 4*. Πρωινό και δείπνο καθημερινά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BD77E4">
              <w:rPr>
                <w:b/>
                <w:bCs/>
              </w:rPr>
              <w:br/>
              <w:t xml:space="preserve">Δεν περιλαμβάνονται: </w:t>
            </w:r>
            <w:r w:rsidRPr="00BD77E4">
              <w:t xml:space="preserve">Τέλη διαμονής: 10€ το άτομο. Είσοδοι σε μουσεία, εκδηλώσεις και διασκεδάσεις, ότι αναφέρεται ως προαιρετικό ή προτεινόμενο, ειδική ασφάλεια </w:t>
            </w:r>
            <w:proofErr w:type="spellStart"/>
            <w:r w:rsidRPr="00BD77E4">
              <w:t>Covid</w:t>
            </w:r>
            <w:proofErr w:type="spellEnd"/>
            <w:r w:rsidRPr="00BD77E4">
              <w:t xml:space="preserve"> - 19: τιμή 15€. Ζητήστε περισσότερες πληροφορίες.</w:t>
            </w:r>
          </w:p>
        </w:tc>
      </w:tr>
      <w:tr w:rsidR="00BD77E4" w:rsidRPr="00BD77E4" w:rsidTr="00BD77E4">
        <w:trPr>
          <w:trHeight w:val="2055"/>
        </w:trPr>
        <w:tc>
          <w:tcPr>
            <w:tcW w:w="8642" w:type="dxa"/>
            <w:gridSpan w:val="7"/>
            <w:vMerge/>
            <w:hideMark/>
          </w:tcPr>
          <w:p w:rsidR="00BD77E4" w:rsidRPr="00BD77E4" w:rsidRDefault="00BD77E4">
            <w:pPr>
              <w:rPr>
                <w:b/>
                <w:bCs/>
              </w:rPr>
            </w:pPr>
          </w:p>
        </w:tc>
      </w:tr>
    </w:tbl>
    <w:p w:rsidR="00BD77E4" w:rsidRDefault="00BD77E4" w:rsidP="00136DCC"/>
    <w:sectPr w:rsidR="00BD77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F7B92"/>
    <w:multiLevelType w:val="hybridMultilevel"/>
    <w:tmpl w:val="C95081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CC"/>
    <w:rsid w:val="00136DCC"/>
    <w:rsid w:val="004E0624"/>
    <w:rsid w:val="008053F4"/>
    <w:rsid w:val="00BD77E4"/>
    <w:rsid w:val="00CB0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6710"/>
  <w15:chartTrackingRefBased/>
  <w15:docId w15:val="{CA70306A-4DDF-4B4C-B860-F6DB8F5B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DCC"/>
    <w:pPr>
      <w:ind w:left="720"/>
      <w:contextualSpacing/>
    </w:pPr>
  </w:style>
  <w:style w:type="table" w:styleId="a4">
    <w:name w:val="Table Grid"/>
    <w:basedOn w:val="a1"/>
    <w:uiPriority w:val="39"/>
    <w:rsid w:val="001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1403">
      <w:bodyDiv w:val="1"/>
      <w:marLeft w:val="0"/>
      <w:marRight w:val="0"/>
      <w:marTop w:val="0"/>
      <w:marBottom w:val="0"/>
      <w:divBdr>
        <w:top w:val="none" w:sz="0" w:space="0" w:color="auto"/>
        <w:left w:val="none" w:sz="0" w:space="0" w:color="auto"/>
        <w:bottom w:val="none" w:sz="0" w:space="0" w:color="auto"/>
        <w:right w:val="none" w:sz="0" w:space="0" w:color="auto"/>
      </w:divBdr>
    </w:div>
    <w:div w:id="218132258">
      <w:bodyDiv w:val="1"/>
      <w:marLeft w:val="0"/>
      <w:marRight w:val="0"/>
      <w:marTop w:val="0"/>
      <w:marBottom w:val="0"/>
      <w:divBdr>
        <w:top w:val="none" w:sz="0" w:space="0" w:color="auto"/>
        <w:left w:val="none" w:sz="0" w:space="0" w:color="auto"/>
        <w:bottom w:val="none" w:sz="0" w:space="0" w:color="auto"/>
        <w:right w:val="none" w:sz="0" w:space="0" w:color="auto"/>
      </w:divBdr>
      <w:divsChild>
        <w:div w:id="76177347">
          <w:marLeft w:val="0"/>
          <w:marRight w:val="0"/>
          <w:marTop w:val="0"/>
          <w:marBottom w:val="0"/>
          <w:divBdr>
            <w:top w:val="none" w:sz="0" w:space="0" w:color="auto"/>
            <w:left w:val="none" w:sz="0" w:space="0" w:color="auto"/>
            <w:bottom w:val="none" w:sz="0" w:space="0" w:color="auto"/>
            <w:right w:val="none" w:sz="0" w:space="0" w:color="auto"/>
          </w:divBdr>
        </w:div>
        <w:div w:id="1791589774">
          <w:marLeft w:val="0"/>
          <w:marRight w:val="0"/>
          <w:marTop w:val="0"/>
          <w:marBottom w:val="0"/>
          <w:divBdr>
            <w:top w:val="none" w:sz="0" w:space="0" w:color="auto"/>
            <w:left w:val="none" w:sz="0" w:space="0" w:color="auto"/>
            <w:bottom w:val="none" w:sz="0" w:space="0" w:color="auto"/>
            <w:right w:val="none" w:sz="0" w:space="0" w:color="auto"/>
          </w:divBdr>
        </w:div>
        <w:div w:id="1460412347">
          <w:marLeft w:val="0"/>
          <w:marRight w:val="0"/>
          <w:marTop w:val="0"/>
          <w:marBottom w:val="0"/>
          <w:divBdr>
            <w:top w:val="none" w:sz="0" w:space="0" w:color="auto"/>
            <w:left w:val="none" w:sz="0" w:space="0" w:color="auto"/>
            <w:bottom w:val="none" w:sz="0" w:space="0" w:color="auto"/>
            <w:right w:val="none" w:sz="0" w:space="0" w:color="auto"/>
          </w:divBdr>
        </w:div>
        <w:div w:id="1298805325">
          <w:marLeft w:val="0"/>
          <w:marRight w:val="0"/>
          <w:marTop w:val="0"/>
          <w:marBottom w:val="0"/>
          <w:divBdr>
            <w:top w:val="none" w:sz="0" w:space="0" w:color="auto"/>
            <w:left w:val="none" w:sz="0" w:space="0" w:color="auto"/>
            <w:bottom w:val="none" w:sz="0" w:space="0" w:color="auto"/>
            <w:right w:val="none" w:sz="0" w:space="0" w:color="auto"/>
          </w:divBdr>
        </w:div>
        <w:div w:id="1068961325">
          <w:marLeft w:val="0"/>
          <w:marRight w:val="0"/>
          <w:marTop w:val="0"/>
          <w:marBottom w:val="0"/>
          <w:divBdr>
            <w:top w:val="none" w:sz="0" w:space="0" w:color="auto"/>
            <w:left w:val="none" w:sz="0" w:space="0" w:color="auto"/>
            <w:bottom w:val="none" w:sz="0" w:space="0" w:color="auto"/>
            <w:right w:val="none" w:sz="0" w:space="0" w:color="auto"/>
          </w:divBdr>
        </w:div>
        <w:div w:id="1746562620">
          <w:marLeft w:val="0"/>
          <w:marRight w:val="0"/>
          <w:marTop w:val="0"/>
          <w:marBottom w:val="0"/>
          <w:divBdr>
            <w:top w:val="none" w:sz="0" w:space="0" w:color="auto"/>
            <w:left w:val="none" w:sz="0" w:space="0" w:color="auto"/>
            <w:bottom w:val="none" w:sz="0" w:space="0" w:color="auto"/>
            <w:right w:val="none" w:sz="0" w:space="0" w:color="auto"/>
          </w:divBdr>
        </w:div>
        <w:div w:id="538201440">
          <w:marLeft w:val="0"/>
          <w:marRight w:val="0"/>
          <w:marTop w:val="0"/>
          <w:marBottom w:val="0"/>
          <w:divBdr>
            <w:top w:val="none" w:sz="0" w:space="0" w:color="auto"/>
            <w:left w:val="none" w:sz="0" w:space="0" w:color="auto"/>
            <w:bottom w:val="none" w:sz="0" w:space="0" w:color="auto"/>
            <w:right w:val="none" w:sz="0" w:space="0" w:color="auto"/>
          </w:divBdr>
        </w:div>
      </w:divsChild>
    </w:div>
    <w:div w:id="273027049">
      <w:bodyDiv w:val="1"/>
      <w:marLeft w:val="0"/>
      <w:marRight w:val="0"/>
      <w:marTop w:val="0"/>
      <w:marBottom w:val="0"/>
      <w:divBdr>
        <w:top w:val="none" w:sz="0" w:space="0" w:color="auto"/>
        <w:left w:val="none" w:sz="0" w:space="0" w:color="auto"/>
        <w:bottom w:val="none" w:sz="0" w:space="0" w:color="auto"/>
        <w:right w:val="none" w:sz="0" w:space="0" w:color="auto"/>
      </w:divBdr>
    </w:div>
    <w:div w:id="934284540">
      <w:bodyDiv w:val="1"/>
      <w:marLeft w:val="0"/>
      <w:marRight w:val="0"/>
      <w:marTop w:val="0"/>
      <w:marBottom w:val="0"/>
      <w:divBdr>
        <w:top w:val="none" w:sz="0" w:space="0" w:color="auto"/>
        <w:left w:val="none" w:sz="0" w:space="0" w:color="auto"/>
        <w:bottom w:val="none" w:sz="0" w:space="0" w:color="auto"/>
        <w:right w:val="none" w:sz="0" w:space="0" w:color="auto"/>
      </w:divBdr>
      <w:divsChild>
        <w:div w:id="14236024">
          <w:marLeft w:val="0"/>
          <w:marRight w:val="0"/>
          <w:marTop w:val="0"/>
          <w:marBottom w:val="0"/>
          <w:divBdr>
            <w:top w:val="none" w:sz="0" w:space="0" w:color="auto"/>
            <w:left w:val="none" w:sz="0" w:space="0" w:color="auto"/>
            <w:bottom w:val="none" w:sz="0" w:space="0" w:color="auto"/>
            <w:right w:val="none" w:sz="0" w:space="0" w:color="auto"/>
          </w:divBdr>
        </w:div>
        <w:div w:id="1209957266">
          <w:marLeft w:val="0"/>
          <w:marRight w:val="0"/>
          <w:marTop w:val="0"/>
          <w:marBottom w:val="0"/>
          <w:divBdr>
            <w:top w:val="none" w:sz="0" w:space="0" w:color="auto"/>
            <w:left w:val="none" w:sz="0" w:space="0" w:color="auto"/>
            <w:bottom w:val="none" w:sz="0" w:space="0" w:color="auto"/>
            <w:right w:val="none" w:sz="0" w:space="0" w:color="auto"/>
          </w:divBdr>
        </w:div>
        <w:div w:id="892809734">
          <w:marLeft w:val="0"/>
          <w:marRight w:val="0"/>
          <w:marTop w:val="0"/>
          <w:marBottom w:val="0"/>
          <w:divBdr>
            <w:top w:val="none" w:sz="0" w:space="0" w:color="auto"/>
            <w:left w:val="none" w:sz="0" w:space="0" w:color="auto"/>
            <w:bottom w:val="none" w:sz="0" w:space="0" w:color="auto"/>
            <w:right w:val="none" w:sz="0" w:space="0" w:color="auto"/>
          </w:divBdr>
        </w:div>
        <w:div w:id="405999805">
          <w:marLeft w:val="0"/>
          <w:marRight w:val="0"/>
          <w:marTop w:val="0"/>
          <w:marBottom w:val="0"/>
          <w:divBdr>
            <w:top w:val="none" w:sz="0" w:space="0" w:color="auto"/>
            <w:left w:val="none" w:sz="0" w:space="0" w:color="auto"/>
            <w:bottom w:val="none" w:sz="0" w:space="0" w:color="auto"/>
            <w:right w:val="none" w:sz="0" w:space="0" w:color="auto"/>
          </w:divBdr>
        </w:div>
        <w:div w:id="652486452">
          <w:marLeft w:val="0"/>
          <w:marRight w:val="0"/>
          <w:marTop w:val="0"/>
          <w:marBottom w:val="0"/>
          <w:divBdr>
            <w:top w:val="none" w:sz="0" w:space="0" w:color="auto"/>
            <w:left w:val="none" w:sz="0" w:space="0" w:color="auto"/>
            <w:bottom w:val="none" w:sz="0" w:space="0" w:color="auto"/>
            <w:right w:val="none" w:sz="0" w:space="0" w:color="auto"/>
          </w:divBdr>
        </w:div>
        <w:div w:id="48114886">
          <w:marLeft w:val="0"/>
          <w:marRight w:val="0"/>
          <w:marTop w:val="0"/>
          <w:marBottom w:val="0"/>
          <w:divBdr>
            <w:top w:val="none" w:sz="0" w:space="0" w:color="auto"/>
            <w:left w:val="none" w:sz="0" w:space="0" w:color="auto"/>
            <w:bottom w:val="none" w:sz="0" w:space="0" w:color="auto"/>
            <w:right w:val="none" w:sz="0" w:space="0" w:color="auto"/>
          </w:divBdr>
        </w:div>
        <w:div w:id="1053431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608</Words>
  <Characters>3289</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2023-09-04T12:57:00Z</dcterms:created>
  <dcterms:modified xsi:type="dcterms:W3CDTF">2024-05-16T10:49:00Z</dcterms:modified>
</cp:coreProperties>
</file>